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B8" w:rsidRDefault="000B183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کلام در این بود که </w:t>
      </w:r>
      <w:r w:rsidR="00C336F3">
        <w:rPr>
          <w:rFonts w:cs="B Nazanin" w:hint="cs"/>
          <w:sz w:val="28"/>
          <w:szCs w:val="28"/>
          <w:rtl/>
        </w:rPr>
        <w:t xml:space="preserve">آیا بقاء بر تقلید میّت جایز است؟ مختار ما عدم جواز شد چه در مسائل عملیه چه غیر عملیه </w:t>
      </w:r>
    </w:p>
    <w:p w:rsidR="00115F8F" w:rsidRPr="00927255" w:rsidRDefault="00115F8F">
      <w:pPr>
        <w:rPr>
          <w:rFonts w:cs="B Nazanin" w:hint="cs"/>
          <w:b/>
          <w:bCs/>
          <w:sz w:val="28"/>
          <w:szCs w:val="28"/>
          <w:rtl/>
        </w:rPr>
      </w:pPr>
      <w:r w:rsidRPr="00927255">
        <w:rPr>
          <w:rFonts w:cs="B Nazanin" w:hint="cs"/>
          <w:b/>
          <w:bCs/>
          <w:sz w:val="28"/>
          <w:szCs w:val="28"/>
          <w:rtl/>
        </w:rPr>
        <w:t>دلیل:</w:t>
      </w:r>
    </w:p>
    <w:p w:rsidR="00115F8F" w:rsidRDefault="00115F8F">
      <w:pPr>
        <w:rPr>
          <w:rFonts w:cs="B Nazanin"/>
          <w:sz w:val="28"/>
          <w:szCs w:val="28"/>
          <w:rtl/>
        </w:rPr>
      </w:pPr>
      <w:r w:rsidRPr="00927255">
        <w:rPr>
          <w:rFonts w:cs="B Nazanin" w:hint="cs"/>
          <w:b/>
          <w:bCs/>
          <w:sz w:val="28"/>
          <w:szCs w:val="28"/>
          <w:rtl/>
        </w:rPr>
        <w:t>اولاً</w:t>
      </w:r>
      <w:r w:rsidR="00927255">
        <w:rPr>
          <w:rFonts w:cs="B Nazanin" w:hint="cs"/>
          <w:sz w:val="28"/>
          <w:szCs w:val="28"/>
          <w:rtl/>
        </w:rPr>
        <w:t xml:space="preserve"> بنا بر قول حق</w:t>
      </w:r>
      <w:r w:rsidR="007D6034">
        <w:rPr>
          <w:rFonts w:cs="B Nazanin" w:hint="cs"/>
          <w:sz w:val="28"/>
          <w:szCs w:val="28"/>
          <w:rtl/>
        </w:rPr>
        <w:t xml:space="preserve"> تقلید عمل است.</w:t>
      </w:r>
      <w:r>
        <w:rPr>
          <w:rFonts w:cs="B Nazanin" w:hint="cs"/>
          <w:sz w:val="28"/>
          <w:szCs w:val="28"/>
          <w:rtl/>
        </w:rPr>
        <w:t xml:space="preserve"> لکن عملی که مستند به فتوای فقیه باشد</w:t>
      </w:r>
      <w:r w:rsidR="002757CF">
        <w:rPr>
          <w:rStyle w:val="a5"/>
          <w:rFonts w:cs="B Nazanin"/>
          <w:sz w:val="28"/>
          <w:szCs w:val="28"/>
          <w:rtl/>
        </w:rPr>
        <w:footnoteReference w:id="1"/>
      </w:r>
      <w:r>
        <w:rPr>
          <w:rFonts w:cs="B Nazanin" w:hint="cs"/>
          <w:sz w:val="28"/>
          <w:szCs w:val="28"/>
          <w:rtl/>
        </w:rPr>
        <w:t xml:space="preserve"> بنا بر این بقاء بر تقلید را شامل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زیرا میِّت خارج از عملی است که بتوان به او استناد کرد یعنی فقیه میِّت هرگز تکیه گاه عمل قرار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گیرد بلکه تکیه گاه عمل حیّ است </w:t>
      </w:r>
      <w:r w:rsidR="00EF505C">
        <w:rPr>
          <w:rFonts w:cs="B Nazanin" w:hint="cs"/>
          <w:sz w:val="28"/>
          <w:szCs w:val="28"/>
          <w:rtl/>
        </w:rPr>
        <w:t>(بله اگر تقلید التزام و اخذ باشد می</w:t>
      </w:r>
      <w:r w:rsidR="00EF505C">
        <w:rPr>
          <w:rFonts w:cs="B Nazanin"/>
          <w:sz w:val="28"/>
          <w:szCs w:val="28"/>
          <w:rtl/>
        </w:rPr>
        <w:softHyphen/>
      </w:r>
      <w:r w:rsidR="00EF505C">
        <w:rPr>
          <w:rFonts w:cs="B Nazanin" w:hint="cs"/>
          <w:sz w:val="28"/>
          <w:szCs w:val="28"/>
          <w:rtl/>
        </w:rPr>
        <w:t xml:space="preserve">شود </w:t>
      </w:r>
      <w:r w:rsidR="00927255">
        <w:rPr>
          <w:rFonts w:cs="B Nazanin" w:hint="cs"/>
          <w:sz w:val="28"/>
          <w:szCs w:val="28"/>
          <w:rtl/>
        </w:rPr>
        <w:t>به رأی فقیه می</w:t>
      </w:r>
      <w:r w:rsidR="00927255">
        <w:rPr>
          <w:rFonts w:cs="B Nazanin"/>
          <w:sz w:val="28"/>
          <w:szCs w:val="28"/>
          <w:rtl/>
        </w:rPr>
        <w:softHyphen/>
      </w:r>
      <w:r w:rsidR="00927255">
        <w:rPr>
          <w:rFonts w:cs="B Nazanin" w:hint="cs"/>
          <w:sz w:val="28"/>
          <w:szCs w:val="28"/>
          <w:rtl/>
        </w:rPr>
        <w:t xml:space="preserve">شود تکیه کرد گرچه مرده باشد) </w:t>
      </w:r>
    </w:p>
    <w:p w:rsidR="000B183F" w:rsidRDefault="000B183F">
      <w:pPr>
        <w:rPr>
          <w:rFonts w:cs="B Nazanin" w:hint="cs"/>
          <w:sz w:val="28"/>
          <w:szCs w:val="28"/>
          <w:rtl/>
        </w:rPr>
      </w:pPr>
      <w:r w:rsidRPr="000B183F">
        <w:rPr>
          <w:rFonts w:cs="B Nazanin" w:hint="cs"/>
          <w:b/>
          <w:bCs/>
          <w:sz w:val="28"/>
          <w:szCs w:val="28"/>
          <w:rtl/>
        </w:rPr>
        <w:t xml:space="preserve">ثانیاً </w:t>
      </w:r>
      <w:r w:rsidR="0018202E">
        <w:rPr>
          <w:rFonts w:cs="B Nazanin" w:hint="cs"/>
          <w:sz w:val="28"/>
          <w:szCs w:val="28"/>
          <w:rtl/>
        </w:rPr>
        <w:t>ادله لفظیه دلالت بر اعتبار حیاه مرجع تقلید دارد ( شرط است که زنده باشد ) که یکی را در درس قبل بیان کردیم.</w:t>
      </w:r>
    </w:p>
    <w:p w:rsidR="0018202E" w:rsidRDefault="008D5443" w:rsidP="00291AD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 یکی هم اخبار ارجاعیه است که امام مردم را به</w:t>
      </w:r>
      <w:r w:rsidR="00961151">
        <w:rPr>
          <w:rFonts w:cs="B Nazanin" w:hint="cs"/>
          <w:sz w:val="28"/>
          <w:szCs w:val="28"/>
          <w:rtl/>
        </w:rPr>
        <w:t xml:space="preserve"> افرادی مانند  ابان ،</w:t>
      </w:r>
      <w:r w:rsidR="00291ADD">
        <w:rPr>
          <w:rFonts w:cs="B Nazanin" w:hint="cs"/>
          <w:sz w:val="28"/>
          <w:szCs w:val="28"/>
          <w:rtl/>
        </w:rPr>
        <w:t xml:space="preserve"> اسدی و </w:t>
      </w:r>
      <w:r>
        <w:rPr>
          <w:rFonts w:cs="B Nazanin" w:hint="cs"/>
          <w:sz w:val="28"/>
          <w:szCs w:val="28"/>
          <w:rtl/>
        </w:rPr>
        <w:t>زکریا بن آدم ارجاع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داد</w:t>
      </w:r>
      <w:r w:rsidR="00291ADD">
        <w:rPr>
          <w:rFonts w:cs="B Nazanin" w:hint="cs"/>
          <w:sz w:val="28"/>
          <w:szCs w:val="28"/>
          <w:rtl/>
        </w:rPr>
        <w:t xml:space="preserve">. و </w:t>
      </w:r>
      <w:r>
        <w:rPr>
          <w:rFonts w:cs="B Nazanin" w:hint="cs"/>
          <w:sz w:val="28"/>
          <w:szCs w:val="28"/>
          <w:rtl/>
        </w:rPr>
        <w:t>این ارجاع به اشخاص است نه روایات آنها و اگر به روایات بود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فرمود به روایات ما مراجعه کنید.</w:t>
      </w:r>
    </w:p>
    <w:p w:rsidR="000F606A" w:rsidRDefault="0030314F">
      <w:pPr>
        <w:rPr>
          <w:rFonts w:cs="B Nazanin"/>
          <w:sz w:val="28"/>
          <w:szCs w:val="28"/>
          <w:rtl/>
        </w:rPr>
      </w:pPr>
      <w:r w:rsidRPr="00291ADD">
        <w:rPr>
          <w:rFonts w:cs="B Nazanin" w:hint="cs"/>
          <w:b/>
          <w:bCs/>
          <w:sz w:val="28"/>
          <w:szCs w:val="28"/>
          <w:rtl/>
        </w:rPr>
        <w:t>ثالثاً</w:t>
      </w:r>
      <w:r>
        <w:rPr>
          <w:rFonts w:cs="B Nazanin" w:hint="cs"/>
          <w:sz w:val="28"/>
          <w:szCs w:val="28"/>
          <w:rtl/>
        </w:rPr>
        <w:t xml:space="preserve"> اگر شک کنیم آیا فتوای مجتهد م</w:t>
      </w:r>
      <w:r w:rsidR="00291ADD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>رده حجی</w:t>
      </w:r>
      <w:r w:rsidR="00291ADD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ت دارد یا خیر</w:t>
      </w:r>
      <w:r w:rsidR="001755C3">
        <w:rPr>
          <w:rFonts w:cs="B Nazanin" w:hint="cs"/>
          <w:sz w:val="28"/>
          <w:szCs w:val="28"/>
          <w:rtl/>
        </w:rPr>
        <w:t>؟</w:t>
      </w:r>
      <w:r>
        <w:rPr>
          <w:rFonts w:cs="B Nazanin" w:hint="cs"/>
          <w:sz w:val="28"/>
          <w:szCs w:val="28"/>
          <w:rtl/>
        </w:rPr>
        <w:t xml:space="preserve"> اصل عدم حجی</w:t>
      </w:r>
      <w:r w:rsidR="001755C3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ت است زیرا شک در حجی</w:t>
      </w:r>
      <w:r w:rsidR="001755C3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ت فتوا بعد مرگ مسبب از شک در شرطیت حیاه</w:t>
      </w:r>
      <w:r w:rsidR="001755C3">
        <w:rPr>
          <w:rFonts w:cs="B Nazanin" w:hint="cs"/>
          <w:sz w:val="28"/>
          <w:szCs w:val="28"/>
          <w:rtl/>
        </w:rPr>
        <w:t xml:space="preserve"> در تقلید از میِّت</w:t>
      </w:r>
      <w:r>
        <w:rPr>
          <w:rFonts w:cs="B Nazanin" w:hint="cs"/>
          <w:sz w:val="28"/>
          <w:szCs w:val="28"/>
          <w:rtl/>
        </w:rPr>
        <w:t xml:space="preserve"> است</w:t>
      </w:r>
      <w:r w:rsidR="00DB1EB9">
        <w:rPr>
          <w:rFonts w:cs="B Nazanin" w:hint="cs"/>
          <w:sz w:val="28"/>
          <w:szCs w:val="28"/>
          <w:rtl/>
        </w:rPr>
        <w:t>. به این بیان که شک داریم</w:t>
      </w:r>
      <w:r>
        <w:rPr>
          <w:rFonts w:cs="B Nazanin" w:hint="cs"/>
          <w:sz w:val="28"/>
          <w:szCs w:val="28"/>
          <w:rtl/>
        </w:rPr>
        <w:t xml:space="preserve"> آیا حیاه در تقلید شرط است یا خیر؟</w:t>
      </w:r>
    </w:p>
    <w:p w:rsidR="0030314F" w:rsidRPr="000B183F" w:rsidRDefault="0030314F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وقتی استصحاب شرطیت حیاه جاری شد این اصل سببی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 که مقدم بر </w:t>
      </w:r>
      <w:r w:rsidR="003D3512">
        <w:rPr>
          <w:rFonts w:cs="B Nazanin" w:hint="cs"/>
          <w:sz w:val="28"/>
          <w:szCs w:val="28"/>
          <w:rtl/>
        </w:rPr>
        <w:t xml:space="preserve">مسببی است </w:t>
      </w:r>
      <w:r>
        <w:rPr>
          <w:rFonts w:cs="B Nazanin" w:hint="cs"/>
          <w:sz w:val="28"/>
          <w:szCs w:val="28"/>
          <w:rtl/>
        </w:rPr>
        <w:t>اما اصل مسببی است</w:t>
      </w:r>
      <w:r w:rsidR="00BB231E">
        <w:rPr>
          <w:rFonts w:cs="B Nazanin" w:hint="cs"/>
          <w:sz w:val="28"/>
          <w:szCs w:val="28"/>
          <w:rtl/>
        </w:rPr>
        <w:t>ص</w:t>
      </w:r>
      <w:r>
        <w:rPr>
          <w:rFonts w:cs="B Nazanin" w:hint="cs"/>
          <w:sz w:val="28"/>
          <w:szCs w:val="28"/>
          <w:rtl/>
        </w:rPr>
        <w:t xml:space="preserve">حاب بقاء </w:t>
      </w:r>
      <w:r w:rsidR="003D3512">
        <w:rPr>
          <w:rFonts w:cs="B Nazanin" w:hint="cs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>جی</w:t>
      </w:r>
      <w:r w:rsidR="003D3512">
        <w:rPr>
          <w:rFonts w:cs="B Nazanin" w:hint="cs"/>
          <w:sz w:val="28"/>
          <w:szCs w:val="28"/>
          <w:rtl/>
        </w:rPr>
        <w:t xml:space="preserve">َّت فتوای فقیه است مطلقا چه </w:t>
      </w:r>
      <w:r>
        <w:rPr>
          <w:rFonts w:cs="B Nazanin" w:hint="cs"/>
          <w:sz w:val="28"/>
          <w:szCs w:val="28"/>
          <w:rtl/>
        </w:rPr>
        <w:t xml:space="preserve">زنده </w:t>
      </w:r>
      <w:r w:rsidR="00AA7141">
        <w:rPr>
          <w:rFonts w:cs="B Nazanin" w:hint="cs"/>
          <w:sz w:val="28"/>
          <w:szCs w:val="28"/>
          <w:rtl/>
        </w:rPr>
        <w:t xml:space="preserve">چه </w:t>
      </w:r>
      <w:r>
        <w:rPr>
          <w:rFonts w:cs="B Nazanin" w:hint="cs"/>
          <w:sz w:val="28"/>
          <w:szCs w:val="28"/>
          <w:rtl/>
        </w:rPr>
        <w:t>مرده .لازمه حاکمیت اصل سببی این است که فقیه مرده اعتباری در تقلید ندارد</w:t>
      </w:r>
      <w:r w:rsidR="00BB231E">
        <w:rPr>
          <w:rFonts w:cs="B Nazanin" w:hint="cs"/>
          <w:sz w:val="28"/>
          <w:szCs w:val="28"/>
          <w:rtl/>
        </w:rPr>
        <w:t xml:space="preserve"> 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و تقلید از آن حجت نیست.</w:t>
      </w:r>
    </w:p>
    <w:p w:rsidR="00927255" w:rsidRPr="00C336F3" w:rsidRDefault="00927255">
      <w:pPr>
        <w:rPr>
          <w:rFonts w:cs="B Nazanin"/>
          <w:sz w:val="28"/>
          <w:szCs w:val="28"/>
        </w:rPr>
      </w:pPr>
    </w:p>
    <w:sectPr w:rsidR="00927255" w:rsidRPr="00C336F3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05" w:rsidRDefault="00BD4005" w:rsidP="002757CF">
      <w:pPr>
        <w:spacing w:after="0" w:line="240" w:lineRule="auto"/>
      </w:pPr>
      <w:r>
        <w:separator/>
      </w:r>
    </w:p>
  </w:endnote>
  <w:endnote w:type="continuationSeparator" w:id="0">
    <w:p w:rsidR="00BD4005" w:rsidRDefault="00BD4005" w:rsidP="0027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05" w:rsidRDefault="00BD4005" w:rsidP="002757CF">
      <w:pPr>
        <w:spacing w:after="0" w:line="240" w:lineRule="auto"/>
      </w:pPr>
      <w:r>
        <w:separator/>
      </w:r>
    </w:p>
  </w:footnote>
  <w:footnote w:type="continuationSeparator" w:id="0">
    <w:p w:rsidR="00BD4005" w:rsidRDefault="00BD4005" w:rsidP="002757CF">
      <w:pPr>
        <w:spacing w:after="0" w:line="240" w:lineRule="auto"/>
      </w:pPr>
      <w:r>
        <w:continuationSeparator/>
      </w:r>
    </w:p>
  </w:footnote>
  <w:footnote w:id="1">
    <w:p w:rsidR="002757CF" w:rsidRPr="00961151" w:rsidRDefault="00780AAE" w:rsidP="00780AAE">
      <w:pPr>
        <w:pStyle w:val="a3"/>
        <w:rPr>
          <w:rFonts w:cs="B Nazanin" w:hint="cs"/>
        </w:rPr>
      </w:pPr>
      <w:r w:rsidRPr="00961151">
        <w:rPr>
          <w:rFonts w:cs="B Nazanin" w:hint="cs"/>
          <w:rtl/>
        </w:rPr>
        <w:t>۱-تقلید عبارت از عمل مستند به قول غیر است و با کنار هم گذاشتن دو عبارت عمل و قول عیر در این تعریف نتیجه می</w:t>
      </w:r>
      <w:r w:rsidRPr="00961151">
        <w:rPr>
          <w:rFonts w:cs="B Nazanin"/>
          <w:rtl/>
        </w:rPr>
        <w:softHyphen/>
      </w:r>
      <w:r w:rsidRPr="00961151">
        <w:rPr>
          <w:rFonts w:cs="B Nazanin" w:hint="cs"/>
          <w:rtl/>
        </w:rPr>
        <w:t xml:space="preserve">گیریم که </w:t>
      </w:r>
      <w:r w:rsidR="00961151" w:rsidRPr="00961151">
        <w:rPr>
          <w:rFonts w:cs="B Nazanin" w:hint="cs"/>
          <w:rtl/>
        </w:rPr>
        <w:t>غیر شامل میِّت نمی</w:t>
      </w:r>
      <w:r w:rsidR="00961151" w:rsidRPr="00961151">
        <w:rPr>
          <w:rFonts w:cs="B Nazanin"/>
          <w:rtl/>
        </w:rPr>
        <w:softHyphen/>
      </w:r>
      <w:r w:rsidR="00961151" w:rsidRPr="00961151">
        <w:rPr>
          <w:rFonts w:cs="B Nazanin" w:hint="cs"/>
          <w:rtl/>
        </w:rPr>
        <w:t>شود ...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26A9"/>
    <w:multiLevelType w:val="hybridMultilevel"/>
    <w:tmpl w:val="79A8BB3C"/>
    <w:lvl w:ilvl="0" w:tplc="1E5E5D8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165C5"/>
    <w:multiLevelType w:val="hybridMultilevel"/>
    <w:tmpl w:val="37AC3D1A"/>
    <w:lvl w:ilvl="0" w:tplc="0266862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C5"/>
    <w:rsid w:val="000B183F"/>
    <w:rsid w:val="000F606A"/>
    <w:rsid w:val="00115F8F"/>
    <w:rsid w:val="001755C3"/>
    <w:rsid w:val="0018202E"/>
    <w:rsid w:val="002757CF"/>
    <w:rsid w:val="00291ADD"/>
    <w:rsid w:val="0030314F"/>
    <w:rsid w:val="003D3512"/>
    <w:rsid w:val="004A72C5"/>
    <w:rsid w:val="00516DDE"/>
    <w:rsid w:val="00780AAE"/>
    <w:rsid w:val="007D6034"/>
    <w:rsid w:val="008703B8"/>
    <w:rsid w:val="008D5443"/>
    <w:rsid w:val="00927255"/>
    <w:rsid w:val="00961151"/>
    <w:rsid w:val="00AA7141"/>
    <w:rsid w:val="00BB231E"/>
    <w:rsid w:val="00BD4005"/>
    <w:rsid w:val="00C112FA"/>
    <w:rsid w:val="00C336F3"/>
    <w:rsid w:val="00DB1EB9"/>
    <w:rsid w:val="00E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DC053-AC42-4E93-A9CB-E8030E29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57CF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2757C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5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B89C2-6783-4A0D-BC10-03B9D264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2</cp:revision>
  <dcterms:created xsi:type="dcterms:W3CDTF">2015-12-26T06:48:00Z</dcterms:created>
  <dcterms:modified xsi:type="dcterms:W3CDTF">2015-12-26T07:50:00Z</dcterms:modified>
</cp:coreProperties>
</file>