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060" w:rsidRDefault="00B66060" w:rsidP="00B66060">
      <w:pPr>
        <w:spacing w:before="240"/>
        <w:rPr>
          <w:rFonts w:ascii="Simplified Arabic Fixed" w:hAnsi="Simplified Arabic Fixed" w:cs="B Nazanin"/>
          <w:sz w:val="28"/>
          <w:szCs w:val="28"/>
          <w:rtl/>
        </w:rPr>
      </w:pPr>
    </w:p>
    <w:p w:rsidR="00B66060" w:rsidRDefault="00B66060" w:rsidP="00B66060">
      <w:pPr>
        <w:spacing w:before="240"/>
        <w:jc w:val="center"/>
        <w:rPr>
          <w:rFonts w:ascii="Simplified Arabic Fixed" w:hAnsi="Simplified Arabic Fixed" w:cs="B Nazanin"/>
          <w:b/>
          <w:bCs/>
          <w:sz w:val="28"/>
          <w:szCs w:val="28"/>
          <w:rtl/>
        </w:rPr>
      </w:pPr>
      <w:r>
        <w:rPr>
          <w:rFonts w:ascii="Simplified Arabic Fixed" w:hAnsi="Simplified Arabic Fixed" w:cs="B Nazanin" w:hint="cs"/>
          <w:b/>
          <w:bCs/>
          <w:sz w:val="28"/>
          <w:szCs w:val="28"/>
          <w:rtl/>
        </w:rPr>
        <w:t>جلسه بیست و یکم</w:t>
      </w:r>
      <w:r w:rsidRPr="00C541CA">
        <w:rPr>
          <w:rFonts w:ascii="Simplified Arabic Fixed" w:hAnsi="Simplified Arabic Fixed" w:cs="B Nazanin" w:hint="cs"/>
          <w:b/>
          <w:bCs/>
          <w:sz w:val="28"/>
          <w:szCs w:val="28"/>
          <w:rtl/>
        </w:rPr>
        <w:t>(</w:t>
      </w:r>
      <w:r>
        <w:rPr>
          <w:rFonts w:ascii="Simplified Arabic Fixed" w:hAnsi="Simplified Arabic Fixed" w:cs="B Nazanin" w:hint="cs"/>
          <w:b/>
          <w:bCs/>
          <w:sz w:val="28"/>
          <w:szCs w:val="28"/>
          <w:rtl/>
        </w:rPr>
        <w:t>۳۰</w:t>
      </w:r>
      <w:r w:rsidRPr="00C541CA">
        <w:rPr>
          <w:rFonts w:ascii="Simplified Arabic Fixed" w:hAnsi="Simplified Arabic Fixed" w:cs="B Nazanin" w:hint="cs"/>
          <w:b/>
          <w:bCs/>
          <w:sz w:val="28"/>
          <w:szCs w:val="28"/>
          <w:rtl/>
        </w:rPr>
        <w:t>/۸/۱۳۹۴)</w:t>
      </w:r>
    </w:p>
    <w:p w:rsidR="00B66060" w:rsidRPr="00D50678" w:rsidRDefault="00B66060" w:rsidP="00B66060">
      <w:pPr>
        <w:spacing w:before="240"/>
        <w:rPr>
          <w:rFonts w:ascii="Simplified Arabic Fixed" w:hAnsi="Simplified Arabic Fixed" w:cs="B Nazanin"/>
          <w:b/>
          <w:bCs/>
          <w:sz w:val="28"/>
          <w:szCs w:val="28"/>
          <w:rtl/>
        </w:rPr>
      </w:pPr>
      <w:r w:rsidRPr="00D50678">
        <w:rPr>
          <w:rFonts w:ascii="Simplified Arabic Fixed" w:hAnsi="Simplified Arabic Fixed" w:cs="B Nazanin" w:hint="cs"/>
          <w:b/>
          <w:bCs/>
          <w:sz w:val="28"/>
          <w:szCs w:val="28"/>
          <w:rtl/>
        </w:rPr>
        <w:t>نظر استاد.</w:t>
      </w:r>
    </w:p>
    <w:p w:rsidR="00B66060" w:rsidRDefault="00B66060" w:rsidP="00B6606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به نظر ما در مواردی که فقها اتفاق فتوا دارند  تعیین مرجع لازم نیست . اما در مسائل اختلافی باید مرجع تقلید را مشخص کند .</w:t>
      </w:r>
    </w:p>
    <w:p w:rsidR="00B66060" w:rsidRDefault="00B66060" w:rsidP="00B6606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تحقیق این مطلب مبتنی بر بررسی چهار مطلب است.</w:t>
      </w:r>
    </w:p>
    <w:p w:rsidR="00B66060" w:rsidRDefault="00B66060" w:rsidP="00B66060">
      <w:pPr>
        <w:spacing w:before="240"/>
        <w:rPr>
          <w:rFonts w:ascii="Simplified Arabic Fixed" w:hAnsi="Simplified Arabic Fixed" w:cs="B Nazanin"/>
          <w:sz w:val="28"/>
          <w:szCs w:val="28"/>
          <w:rtl/>
        </w:rPr>
      </w:pPr>
      <w:r w:rsidRPr="00973641">
        <w:rPr>
          <w:rFonts w:ascii="Simplified Arabic Fixed" w:hAnsi="Simplified Arabic Fixed" w:cs="B Nazanin" w:hint="cs"/>
          <w:b/>
          <w:bCs/>
          <w:sz w:val="28"/>
          <w:szCs w:val="28"/>
          <w:rtl/>
        </w:rPr>
        <w:t>مطلب اول:</w:t>
      </w:r>
      <w:r>
        <w:rPr>
          <w:rFonts w:ascii="Simplified Arabic Fixed" w:hAnsi="Simplified Arabic Fixed" w:cs="B Nazanin" w:hint="cs"/>
          <w:sz w:val="28"/>
          <w:szCs w:val="28"/>
          <w:rtl/>
        </w:rPr>
        <w:t xml:space="preserve"> عُمده دلیل در باب حجیَّت فتوای مجتهدین سیره و بنای عقلاء است .</w:t>
      </w:r>
      <w:r>
        <w:rPr>
          <w:rStyle w:val="a5"/>
          <w:rFonts w:ascii="Simplified Arabic Fixed" w:hAnsi="Simplified Arabic Fixed" w:cs="B Nazanin"/>
          <w:sz w:val="28"/>
          <w:szCs w:val="28"/>
          <w:rtl/>
        </w:rPr>
        <w:footnoteReference w:id="1"/>
      </w:r>
    </w:p>
    <w:p w:rsidR="00B66060" w:rsidRDefault="00B66060" w:rsidP="00B66060">
      <w:pPr>
        <w:spacing w:before="240"/>
        <w:rPr>
          <w:rFonts w:ascii="Simplified Arabic Fixed" w:hAnsi="Simplified Arabic Fixed" w:cs="B Nazanin"/>
          <w:sz w:val="28"/>
          <w:szCs w:val="28"/>
          <w:rtl/>
        </w:rPr>
      </w:pPr>
      <w:r w:rsidRPr="00865F9D">
        <w:rPr>
          <w:rFonts w:ascii="Simplified Arabic Fixed" w:hAnsi="Simplified Arabic Fixed" w:cs="B Nazanin" w:hint="cs"/>
          <w:b/>
          <w:bCs/>
          <w:sz w:val="28"/>
          <w:szCs w:val="28"/>
          <w:rtl/>
        </w:rPr>
        <w:t>عبارت کفایه:</w:t>
      </w:r>
      <w:r>
        <w:rPr>
          <w:rFonts w:ascii="Simplified Arabic Fixed" w:hAnsi="Simplified Arabic Fixed" w:cs="B Nazanin" w:hint="cs"/>
          <w:sz w:val="28"/>
          <w:szCs w:val="28"/>
          <w:rtl/>
        </w:rPr>
        <w:t xml:space="preserve"> ثم إنه لا یذهب علیک أنَّ جواز التقلید و رجوع الجاهل الی العالم فی الجمله یکون بدیهیاً جِبِلیاً  فطریاً لا یحتاج الی دلیلٍ و الا لزم سدُ باب العلم به علی العامی مطلقاُ غالباً لِعجزه عن معرفه ما دل علیه کتاباً و سنَّهً...</w:t>
      </w:r>
      <w:r>
        <w:rPr>
          <w:rStyle w:val="a5"/>
          <w:rFonts w:ascii="Simplified Arabic Fixed" w:hAnsi="Simplified Arabic Fixed" w:cs="B Nazanin"/>
          <w:sz w:val="28"/>
          <w:szCs w:val="28"/>
          <w:rtl/>
        </w:rPr>
        <w:footnoteReference w:id="2"/>
      </w:r>
    </w:p>
    <w:p w:rsidR="00B66060" w:rsidRDefault="00B66060" w:rsidP="00B6606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ایشان در این متن به سه مطلب اشاره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کنند.</w:t>
      </w:r>
    </w:p>
    <w:p w:rsidR="00B66060" w:rsidRDefault="00B66060" w:rsidP="00B66060">
      <w:pPr>
        <w:spacing w:before="240"/>
        <w:rPr>
          <w:rFonts w:ascii="Simplified Arabic Fixed" w:hAnsi="Simplified Arabic Fixed" w:cs="B Nazanin"/>
          <w:sz w:val="28"/>
          <w:szCs w:val="28"/>
          <w:rtl/>
        </w:rPr>
      </w:pPr>
      <w:r w:rsidRPr="00E44559">
        <w:rPr>
          <w:rFonts w:ascii="Simplified Arabic Fixed" w:hAnsi="Simplified Arabic Fixed" w:cs="B Nazanin" w:hint="cs"/>
          <w:b/>
          <w:bCs/>
          <w:sz w:val="28"/>
          <w:szCs w:val="28"/>
          <w:rtl/>
        </w:rPr>
        <w:t>الف:</w:t>
      </w:r>
      <w:r>
        <w:rPr>
          <w:rFonts w:ascii="Simplified Arabic Fixed" w:hAnsi="Simplified Arabic Fixed" w:cs="B Nazanin" w:hint="cs"/>
          <w:sz w:val="28"/>
          <w:szCs w:val="28"/>
          <w:rtl/>
        </w:rPr>
        <w:t xml:space="preserve"> جواز تقلید یعنی رجوع جاهل به عالم یک امر بدیهی و فطری است و دلیل لازم ندارد. </w:t>
      </w:r>
    </w:p>
    <w:p w:rsidR="00B66060" w:rsidRDefault="00B66060" w:rsidP="00B66060">
      <w:pPr>
        <w:spacing w:before="240"/>
        <w:rPr>
          <w:rFonts w:ascii="Simplified Arabic Fixed" w:hAnsi="Simplified Arabic Fixed" w:cs="B Nazanin"/>
          <w:sz w:val="28"/>
          <w:szCs w:val="28"/>
          <w:rtl/>
        </w:rPr>
      </w:pPr>
      <w:r w:rsidRPr="006717B7">
        <w:rPr>
          <w:rFonts w:ascii="Simplified Arabic Fixed" w:hAnsi="Simplified Arabic Fixed" w:cs="B Nazanin" w:hint="cs"/>
          <w:b/>
          <w:bCs/>
          <w:sz w:val="28"/>
          <w:szCs w:val="28"/>
          <w:rtl/>
        </w:rPr>
        <w:t>توضیح:</w:t>
      </w:r>
      <w:r>
        <w:rPr>
          <w:rFonts w:ascii="Simplified Arabic Fixed" w:hAnsi="Simplified Arabic Fixed" w:cs="B Nazanin" w:hint="cs"/>
          <w:sz w:val="28"/>
          <w:szCs w:val="28"/>
          <w:rtl/>
        </w:rPr>
        <w:t xml:space="preserve"> مراد از جبلیِّ ارتکازی  است . همان گونه که در نفس مردم معامله رسوخ دارد و داد و ستد ارتکازی است همچنین در نفس مردم تقلید رسوخ دارد و ارتکازی است . پس رجوع جاهل به عالم در نفس مردم راسخ است و لذا دلیل لازم ندارد. </w:t>
      </w:r>
    </w:p>
    <w:p w:rsidR="00B66060" w:rsidRDefault="00B66060" w:rsidP="00B66060">
      <w:pPr>
        <w:spacing w:before="240"/>
        <w:rPr>
          <w:rFonts w:ascii="Simplified Arabic Fixed" w:hAnsi="Simplified Arabic Fixed" w:cs="B Nazanin"/>
          <w:sz w:val="28"/>
          <w:szCs w:val="28"/>
          <w:rtl/>
        </w:rPr>
      </w:pPr>
      <w:r w:rsidRPr="006717B7">
        <w:rPr>
          <w:rFonts w:ascii="Simplified Arabic Fixed" w:hAnsi="Simplified Arabic Fixed" w:cs="B Nazanin" w:hint="cs"/>
          <w:b/>
          <w:bCs/>
          <w:sz w:val="28"/>
          <w:szCs w:val="28"/>
          <w:rtl/>
        </w:rPr>
        <w:t>ب:</w:t>
      </w:r>
      <w:r>
        <w:rPr>
          <w:rFonts w:ascii="Simplified Arabic Fixed" w:hAnsi="Simplified Arabic Fixed" w:cs="B Nazanin" w:hint="cs"/>
          <w:sz w:val="28"/>
          <w:szCs w:val="28"/>
          <w:rtl/>
        </w:rPr>
        <w:t xml:space="preserve"> اگر تقلید جایز نباشد انسداد باب علم لازم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آید زیرا مردم عوام در شناخت ادلّه کتاب و سنّه عاجز هستند و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توانند حکم شرعی خود را با مراجعه به کتاب و سنّه پیدا کنند . بنا بر این بر مردم تقلید ضروری است.</w:t>
      </w:r>
    </w:p>
    <w:p w:rsidR="00B66060" w:rsidRDefault="00B66060" w:rsidP="00B66060">
      <w:pPr>
        <w:spacing w:before="240"/>
        <w:rPr>
          <w:rFonts w:ascii="Simplified Arabic Fixed" w:hAnsi="Simplified Arabic Fixed" w:cs="B Nazanin"/>
          <w:sz w:val="28"/>
          <w:szCs w:val="28"/>
          <w:rtl/>
        </w:rPr>
      </w:pPr>
      <w:r w:rsidRPr="00CC0F11">
        <w:rPr>
          <w:rFonts w:ascii="Simplified Arabic Fixed" w:hAnsi="Simplified Arabic Fixed" w:cs="B Nazanin" w:hint="cs"/>
          <w:b/>
          <w:bCs/>
          <w:sz w:val="28"/>
          <w:szCs w:val="28"/>
          <w:rtl/>
        </w:rPr>
        <w:t>ج:</w:t>
      </w:r>
      <w:r>
        <w:rPr>
          <w:rFonts w:ascii="Simplified Arabic Fixed" w:hAnsi="Simplified Arabic Fixed" w:cs="B Nazanin" w:hint="cs"/>
          <w:sz w:val="28"/>
          <w:szCs w:val="28"/>
          <w:rtl/>
        </w:rPr>
        <w:t xml:space="preserve"> اغلب ادلّه علماء در باب جواز تقلید قابل مناقشه است مثلا شیخ طوسی در کتاب عُدّه الاصول اجماع را دلیل بر جواز تقلید گرفت . در حالی که به نظر آخوند اجماع حجّت نیست. ایشان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فرماید</w:t>
      </w:r>
    </w:p>
    <w:p w:rsidR="00B66060" w:rsidRDefault="00B66060" w:rsidP="00B6606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lastRenderedPageBreak/>
        <w:t xml:space="preserve"> اگر مراد از اجماع ، اجماع منقول باشد حجّه نیست اگر مراد اجماع محصَّل باشد درجواب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گوییم چنین اجماعی تحصیل نشده است لذا عمده دلیل بر حجیّه فتوا همان سیره عقلاء است . و روش عقلاء این است که جاهل به عالم مراجعه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w:t>
      </w:r>
    </w:p>
    <w:p w:rsidR="00B66060" w:rsidRDefault="00B66060" w:rsidP="00B66060">
      <w:pPr>
        <w:spacing w:before="240"/>
        <w:rPr>
          <w:rFonts w:ascii="Simplified Arabic Fixed" w:hAnsi="Simplified Arabic Fixed" w:cs="B Nazanin"/>
          <w:sz w:val="28"/>
          <w:szCs w:val="28"/>
          <w:rtl/>
        </w:rPr>
      </w:pPr>
      <w:r w:rsidRPr="00C35780">
        <w:rPr>
          <w:rFonts w:ascii="Simplified Arabic Fixed" w:hAnsi="Simplified Arabic Fixed" w:cs="B Nazanin" w:hint="cs"/>
          <w:b/>
          <w:bCs/>
          <w:sz w:val="28"/>
          <w:szCs w:val="28"/>
          <w:rtl/>
        </w:rPr>
        <w:t>مطلب دوم:</w:t>
      </w:r>
      <w:r>
        <w:rPr>
          <w:rFonts w:ascii="Simplified Arabic Fixed" w:hAnsi="Simplified Arabic Fixed" w:cs="B Nazanin" w:hint="cs"/>
          <w:sz w:val="28"/>
          <w:szCs w:val="28"/>
          <w:rtl/>
        </w:rPr>
        <w:t xml:space="preserve"> باید بررسی کرد که آیا تقلید موضوعیَّت دارد یا کاشفیَّت دارد ؟</w:t>
      </w:r>
    </w:p>
    <w:p w:rsidR="00B66060" w:rsidRDefault="00B66060" w:rsidP="00B6606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اتفاق مجتهدین از فقها (نه اخباری ها) بر این است که تقلید کاشفیَّت دارد نه موضوعیت.</w:t>
      </w:r>
    </w:p>
    <w:p w:rsidR="00B66060" w:rsidRDefault="00B66060" w:rsidP="00B66060">
      <w:pPr>
        <w:spacing w:before="240"/>
        <w:rPr>
          <w:rFonts w:ascii="Simplified Arabic Fixed" w:hAnsi="Simplified Arabic Fixed" w:cs="B Nazanin"/>
          <w:sz w:val="28"/>
          <w:szCs w:val="28"/>
          <w:rtl/>
        </w:rPr>
      </w:pPr>
      <w:r w:rsidRPr="00406FF3">
        <w:rPr>
          <w:rFonts w:ascii="Simplified Arabic Fixed" w:hAnsi="Simplified Arabic Fixed" w:cs="B Nazanin" w:hint="cs"/>
          <w:b/>
          <w:bCs/>
          <w:sz w:val="28"/>
          <w:szCs w:val="28"/>
          <w:rtl/>
        </w:rPr>
        <w:t>دلیل:</w:t>
      </w:r>
      <w:r>
        <w:rPr>
          <w:rFonts w:ascii="Simplified Arabic Fixed" w:hAnsi="Simplified Arabic Fixed" w:cs="B Nazanin" w:hint="cs"/>
          <w:sz w:val="28"/>
          <w:szCs w:val="28"/>
          <w:rtl/>
        </w:rPr>
        <w:t xml:space="preserve"> زیرا اگر امام معصوم حاضر باشد و دست رسی به وجود مبارک ایشان ممکن باشد تقلید موضوعیت ندارد و سالبه به انتفاء موضوع است . چرا که تقلید ظنّی و رجوع به امام قطعی است . و با وجود دسترسی به یقین، ظن موضوعیت ندارد. با تمکن به رجوع قطعی رجوع ظنی بلا موضوع است . لذا مشخص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که  فتوای مجتهد اماریَّت دارد و مانند بیّنه شاهد و خبر ثقه است .</w:t>
      </w:r>
    </w:p>
    <w:p w:rsidR="00B66060" w:rsidRDefault="00B66060" w:rsidP="00B6606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و لذا امام خمینی در عبارت های خود فرموده است لا اشکال فی أن رجوعه الیه انما هو لاجل طریقیته الی الواقع و کشفه عنه و إن منشأ القاء احتمال الخلاف لأجل غلبه موافقت قوله للواقع و نُدره المخالفه بحیث لا یعتنی به العقلاء...</w:t>
      </w:r>
    </w:p>
    <w:p w:rsidR="00B66060" w:rsidRDefault="00B66060" w:rsidP="00B6606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امام در این عبارت به دو مطلب اشاره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فرمایند.</w:t>
      </w:r>
    </w:p>
    <w:p w:rsidR="00B66060" w:rsidRDefault="00B66060" w:rsidP="00B66060">
      <w:pPr>
        <w:spacing w:before="240"/>
        <w:rPr>
          <w:rFonts w:ascii="Simplified Arabic Fixed" w:hAnsi="Simplified Arabic Fixed" w:cs="B Nazanin"/>
          <w:sz w:val="28"/>
          <w:szCs w:val="28"/>
          <w:rtl/>
        </w:rPr>
      </w:pPr>
      <w:r w:rsidRPr="002D027C">
        <w:rPr>
          <w:rFonts w:ascii="Simplified Arabic Fixed" w:hAnsi="Simplified Arabic Fixed" w:cs="B Nazanin" w:hint="cs"/>
          <w:b/>
          <w:bCs/>
          <w:sz w:val="28"/>
          <w:szCs w:val="28"/>
          <w:rtl/>
        </w:rPr>
        <w:t>الف:</w:t>
      </w:r>
      <w:r>
        <w:rPr>
          <w:rFonts w:ascii="Simplified Arabic Fixed" w:hAnsi="Simplified Arabic Fixed" w:cs="B Nazanin" w:hint="cs"/>
          <w:sz w:val="28"/>
          <w:szCs w:val="28"/>
          <w:rtl/>
        </w:rPr>
        <w:t xml:space="preserve"> رجوع جاهل به عالم به خاطر این است که قول عالم کشف از واقع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 سخن عالم طریق به واقع است و ما را به واقع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رساند)</w:t>
      </w:r>
    </w:p>
    <w:p w:rsidR="00B66060" w:rsidRDefault="00B66060" w:rsidP="00B66060">
      <w:pPr>
        <w:spacing w:before="240"/>
        <w:rPr>
          <w:rFonts w:ascii="Simplified Arabic Fixed" w:hAnsi="Simplified Arabic Fixed" w:cs="B Nazanin"/>
          <w:sz w:val="28"/>
          <w:szCs w:val="28"/>
          <w:rtl/>
        </w:rPr>
      </w:pPr>
      <w:r w:rsidRPr="002D027C">
        <w:rPr>
          <w:rFonts w:ascii="Simplified Arabic Fixed" w:hAnsi="Simplified Arabic Fixed" w:cs="B Nazanin" w:hint="cs"/>
          <w:b/>
          <w:bCs/>
          <w:sz w:val="28"/>
          <w:szCs w:val="28"/>
          <w:rtl/>
        </w:rPr>
        <w:t>ب:</w:t>
      </w:r>
      <w:r>
        <w:rPr>
          <w:rFonts w:ascii="Simplified Arabic Fixed" w:hAnsi="Simplified Arabic Fixed" w:cs="B Nazanin" w:hint="cs"/>
          <w:sz w:val="28"/>
          <w:szCs w:val="28"/>
          <w:rtl/>
        </w:rPr>
        <w:t xml:space="preserve"> احتمال مخالفت فتوای فقیه با واقع خیلی کم است به گونه ای که عُقلا  به این احتمال بی اعتناء هستند لذا غالباً قول فقیه موافق با واقع است .اگر خلاف هم باشد خیلی کم است که خیلی مهم نیست.</w:t>
      </w:r>
    </w:p>
    <w:p w:rsidR="00B66060" w:rsidRDefault="00B66060" w:rsidP="00B66060">
      <w:pPr>
        <w:spacing w:before="240"/>
        <w:rPr>
          <w:rFonts w:ascii="Simplified Arabic Fixed" w:hAnsi="Simplified Arabic Fixed" w:cs="B Nazanin"/>
          <w:sz w:val="28"/>
          <w:szCs w:val="28"/>
          <w:rtl/>
        </w:rPr>
      </w:pPr>
      <w:r w:rsidRPr="002D027C">
        <w:rPr>
          <w:rFonts w:ascii="Simplified Arabic Fixed" w:hAnsi="Simplified Arabic Fixed" w:cs="B Nazanin" w:hint="cs"/>
          <w:b/>
          <w:bCs/>
          <w:sz w:val="28"/>
          <w:szCs w:val="28"/>
          <w:rtl/>
        </w:rPr>
        <w:t>مطلب سوم:</w:t>
      </w:r>
      <w:r>
        <w:rPr>
          <w:rFonts w:ascii="Simplified Arabic Fixed" w:hAnsi="Simplified Arabic Fixed" w:cs="B Nazanin" w:hint="cs"/>
          <w:sz w:val="28"/>
          <w:szCs w:val="28"/>
          <w:rtl/>
        </w:rPr>
        <w:t xml:space="preserve"> فتوا در موضوعات مراتبی دارد.</w:t>
      </w:r>
    </w:p>
    <w:p w:rsidR="00B66060" w:rsidRDefault="00B66060" w:rsidP="00B66060">
      <w:pPr>
        <w:spacing w:before="240"/>
        <w:rPr>
          <w:rFonts w:ascii="Simplified Arabic Fixed" w:hAnsi="Simplified Arabic Fixed" w:cs="B Nazanin"/>
          <w:sz w:val="28"/>
          <w:szCs w:val="28"/>
          <w:rtl/>
        </w:rPr>
      </w:pPr>
      <w:r w:rsidRPr="003A12E1">
        <w:rPr>
          <w:rFonts w:ascii="Simplified Arabic Fixed" w:hAnsi="Simplified Arabic Fixed" w:cs="B Nazanin" w:hint="cs"/>
          <w:b/>
          <w:bCs/>
          <w:sz w:val="28"/>
          <w:szCs w:val="28"/>
          <w:rtl/>
        </w:rPr>
        <w:t>الف:</w:t>
      </w:r>
      <w:r>
        <w:rPr>
          <w:rFonts w:ascii="Simplified Arabic Fixed" w:hAnsi="Simplified Arabic Fixed" w:cs="B Nazanin" w:hint="cs"/>
          <w:sz w:val="28"/>
          <w:szCs w:val="28"/>
          <w:rtl/>
        </w:rPr>
        <w:t xml:space="preserve"> برخی فتاوا در امور مهمه ای است که با یک و یا دو روایت موثّقه فتوا درست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و یا با یک اجماع ضعیف و یا شهره فتوای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فتوا صادر کرد. و لذا سید احمد خوانساری در جامع المدارک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نویسد در مسائل مهم نباید به یک روایت اکتفا کرد هر چند آن روایت سند صحیح داشته باشد. </w:t>
      </w:r>
    </w:p>
    <w:p w:rsidR="00B66060" w:rsidRDefault="00B66060" w:rsidP="00B66060">
      <w:pPr>
        <w:spacing w:before="240"/>
        <w:rPr>
          <w:rFonts w:ascii="Simplified Arabic Fixed" w:hAnsi="Simplified Arabic Fixed" w:cs="B Nazanin"/>
          <w:sz w:val="28"/>
          <w:szCs w:val="28"/>
          <w:rtl/>
        </w:rPr>
      </w:pPr>
      <w:r w:rsidRPr="00BD63AE">
        <w:rPr>
          <w:rFonts w:ascii="Simplified Arabic Fixed" w:hAnsi="Simplified Arabic Fixed" w:cs="B Nazanin" w:hint="cs"/>
          <w:b/>
          <w:bCs/>
          <w:sz w:val="28"/>
          <w:szCs w:val="28"/>
          <w:rtl/>
        </w:rPr>
        <w:t>ب:</w:t>
      </w:r>
      <w:r>
        <w:rPr>
          <w:rFonts w:ascii="Simplified Arabic Fixed" w:hAnsi="Simplified Arabic Fixed" w:cs="B Nazanin" w:hint="cs"/>
          <w:sz w:val="28"/>
          <w:szCs w:val="28"/>
          <w:rtl/>
        </w:rPr>
        <w:t xml:space="preserve"> در برخی موارد مدارک فتوا قیاس منصوص العله است </w:t>
      </w:r>
    </w:p>
    <w:p w:rsidR="00B66060" w:rsidRDefault="00B66060" w:rsidP="00B66060">
      <w:pPr>
        <w:spacing w:before="240"/>
        <w:rPr>
          <w:rFonts w:ascii="Simplified Arabic Fixed" w:hAnsi="Simplified Arabic Fixed" w:cs="B Nazanin"/>
          <w:sz w:val="28"/>
          <w:szCs w:val="28"/>
          <w:rtl/>
        </w:rPr>
      </w:pPr>
      <w:r w:rsidRPr="00BD63AE">
        <w:rPr>
          <w:rFonts w:ascii="Simplified Arabic Fixed" w:hAnsi="Simplified Arabic Fixed" w:cs="B Nazanin" w:hint="cs"/>
          <w:b/>
          <w:bCs/>
          <w:sz w:val="28"/>
          <w:szCs w:val="28"/>
          <w:rtl/>
        </w:rPr>
        <w:t>ج:</w:t>
      </w:r>
      <w:r>
        <w:rPr>
          <w:rFonts w:ascii="Simplified Arabic Fixed" w:hAnsi="Simplified Arabic Fixed" w:cs="B Nazanin" w:hint="cs"/>
          <w:sz w:val="28"/>
          <w:szCs w:val="28"/>
          <w:rtl/>
        </w:rPr>
        <w:t xml:space="preserve"> در برخی موارد مدارک فتوا ملاکات است.</w:t>
      </w:r>
    </w:p>
    <w:p w:rsidR="00B66060" w:rsidRDefault="00B66060" w:rsidP="00B66060">
      <w:pPr>
        <w:spacing w:before="240"/>
        <w:rPr>
          <w:rFonts w:ascii="Simplified Arabic Fixed" w:hAnsi="Simplified Arabic Fixed" w:cs="B Nazanin" w:hint="cs"/>
          <w:sz w:val="28"/>
          <w:szCs w:val="28"/>
          <w:rtl/>
        </w:rPr>
      </w:pPr>
      <w:r w:rsidRPr="00EC7223">
        <w:rPr>
          <w:rFonts w:ascii="Simplified Arabic Fixed" w:hAnsi="Simplified Arabic Fixed" w:cs="B Nazanin" w:hint="cs"/>
          <w:b/>
          <w:bCs/>
          <w:sz w:val="28"/>
          <w:szCs w:val="28"/>
          <w:rtl/>
        </w:rPr>
        <w:t>د:</w:t>
      </w:r>
      <w:r>
        <w:rPr>
          <w:rFonts w:ascii="Simplified Arabic Fixed" w:hAnsi="Simplified Arabic Fixed" w:cs="B Nazanin" w:hint="cs"/>
          <w:sz w:val="28"/>
          <w:szCs w:val="28"/>
          <w:rtl/>
        </w:rPr>
        <w:t xml:space="preserve"> در برخی موارد مدارک فتوا استنباط فقیه از قوائد عامه است.</w:t>
      </w:r>
    </w:p>
    <w:p w:rsidR="00B66060" w:rsidRDefault="00B66060" w:rsidP="00B6606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lastRenderedPageBreak/>
        <w:t xml:space="preserve">لذا باید نگاه کرد که آن مسأله از امور مهمه است یا خیر ... </w:t>
      </w:r>
    </w:p>
    <w:p w:rsidR="00B66060" w:rsidRDefault="00B66060" w:rsidP="00B66060">
      <w:pPr>
        <w:spacing w:before="240"/>
        <w:rPr>
          <w:rFonts w:ascii="Simplified Arabic Fixed" w:hAnsi="Simplified Arabic Fixed" w:cs="B Nazanin" w:hint="cs"/>
          <w:sz w:val="28"/>
          <w:szCs w:val="28"/>
          <w:rtl/>
        </w:rPr>
      </w:pPr>
      <w:r>
        <w:rPr>
          <w:rFonts w:ascii="Simplified Arabic Fixed" w:hAnsi="Simplified Arabic Fixed" w:cs="B Nazanin" w:hint="cs"/>
          <w:b/>
          <w:bCs/>
          <w:sz w:val="28"/>
          <w:szCs w:val="28"/>
          <w:rtl/>
        </w:rPr>
        <w:t>مطلب چهارم:</w:t>
      </w:r>
      <w:r>
        <w:rPr>
          <w:rFonts w:ascii="Simplified Arabic Fixed" w:hAnsi="Simplified Arabic Fixed" w:cs="B Nazanin" w:hint="cs"/>
          <w:sz w:val="28"/>
          <w:szCs w:val="28"/>
          <w:rtl/>
        </w:rPr>
        <w:t xml:space="preserve"> سیر اجتهاد و دوران فتوا در طول زمان مختلف است . در صدر اول اسلام فقها با اطلاق ها و عمومات فتوا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دادند.</w:t>
      </w:r>
    </w:p>
    <w:p w:rsidR="00B66060" w:rsidRDefault="00B66060" w:rsidP="00B6606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در مرحله دوم فقها در سدد پیدا کردن مقیِّدات و مخصِّصات بودند و در این زمینه تلاش های بسیاری صورت گرفت</w:t>
      </w:r>
    </w:p>
    <w:p w:rsidR="00B66060" w:rsidRDefault="00B66060" w:rsidP="00B66060">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در مرحله سوم که همین عصر حاضر است معروف به عصر تکثٌّر قرائات(بحران قرائات و مفاهیم)</w:t>
      </w:r>
    </w:p>
    <w:p w:rsidR="001F5C91" w:rsidRPr="00B66060" w:rsidRDefault="00B66060" w:rsidP="00B66060">
      <w:pPr>
        <w:spacing w:before="240"/>
        <w:rPr>
          <w:rFonts w:ascii="Simplified Arabic Fixed" w:hAnsi="Simplified Arabic Fixed" w:cs="B Nazanin"/>
          <w:sz w:val="28"/>
          <w:szCs w:val="28"/>
        </w:rPr>
      </w:pPr>
      <w:r w:rsidRPr="00891E2B">
        <w:rPr>
          <w:rFonts w:ascii="Simplified Arabic Fixed" w:hAnsi="Simplified Arabic Fixed" w:cs="B Nazanin" w:hint="cs"/>
          <w:b/>
          <w:bCs/>
          <w:sz w:val="28"/>
          <w:szCs w:val="28"/>
          <w:rtl/>
        </w:rPr>
        <w:t>نتیجه:</w:t>
      </w:r>
      <w:r>
        <w:rPr>
          <w:rFonts w:ascii="Simplified Arabic Fixed" w:hAnsi="Simplified Arabic Fixed" w:cs="B Nazanin" w:hint="cs"/>
          <w:sz w:val="28"/>
          <w:szCs w:val="28"/>
          <w:rtl/>
        </w:rPr>
        <w:t xml:space="preserve"> با وجود این چهار امر ثابت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در مواردی که فقها اختلاف نظر دارند تعیین قول فقیه واجب است.و اتفاقاً عرف هم همین گونه عمل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مثلا در اختلاف رأی پزشک عمومی با متخصص رأی پزشک متخصص را بر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گزیند. (و اساس قاعده کاشفیت بر تعیین است) </w:t>
      </w:r>
      <w:bookmarkStart w:id="0" w:name="_GoBack"/>
      <w:bookmarkEnd w:id="0"/>
    </w:p>
    <w:sectPr w:rsidR="001F5C91" w:rsidRPr="00B66060"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CE" w:rsidRDefault="00C341CE" w:rsidP="00B66060">
      <w:pPr>
        <w:spacing w:after="0" w:line="240" w:lineRule="auto"/>
      </w:pPr>
      <w:r>
        <w:separator/>
      </w:r>
    </w:p>
  </w:endnote>
  <w:endnote w:type="continuationSeparator" w:id="0">
    <w:p w:rsidR="00C341CE" w:rsidRDefault="00C341CE" w:rsidP="00B6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CE" w:rsidRDefault="00C341CE" w:rsidP="00B66060">
      <w:pPr>
        <w:spacing w:after="0" w:line="240" w:lineRule="auto"/>
      </w:pPr>
      <w:r>
        <w:separator/>
      </w:r>
    </w:p>
  </w:footnote>
  <w:footnote w:type="continuationSeparator" w:id="0">
    <w:p w:rsidR="00C341CE" w:rsidRDefault="00C341CE" w:rsidP="00B66060">
      <w:pPr>
        <w:spacing w:after="0" w:line="240" w:lineRule="auto"/>
      </w:pPr>
      <w:r>
        <w:continuationSeparator/>
      </w:r>
    </w:p>
  </w:footnote>
  <w:footnote w:id="1">
    <w:p w:rsidR="00B66060" w:rsidRPr="00865F9D" w:rsidRDefault="00B66060" w:rsidP="00B66060">
      <w:pPr>
        <w:pStyle w:val="a3"/>
        <w:rPr>
          <w:rFonts w:cs="B Nazanin"/>
        </w:rPr>
      </w:pPr>
      <w:r w:rsidRPr="00865F9D">
        <w:rPr>
          <w:rFonts w:cs="B Nazanin" w:hint="cs"/>
          <w:rtl/>
        </w:rPr>
        <w:t>۳۷- جمع کثیری از علماء از جمله مرحوم آخوند ، امام خمینی ، و مرحوم خویی و... به این مطلب  نظر دارند.</w:t>
      </w:r>
    </w:p>
  </w:footnote>
  <w:footnote w:id="2">
    <w:p w:rsidR="00B66060" w:rsidRPr="006717B7" w:rsidRDefault="00B66060" w:rsidP="00B66060">
      <w:pPr>
        <w:pStyle w:val="a3"/>
        <w:rPr>
          <w:rFonts w:cs="B Nazanin"/>
          <w:rtl/>
        </w:rPr>
      </w:pPr>
      <w:r w:rsidRPr="006717B7">
        <w:rPr>
          <w:rFonts w:cs="B Nazanin" w:hint="cs"/>
          <w:rtl/>
        </w:rPr>
        <w:t>۳۸- کفایه انتشارات آل البیت صفحه ۴۷۲ در ذیل فصلٌ فی التقلید.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C1"/>
    <w:rsid w:val="001F5C91"/>
    <w:rsid w:val="00516DDE"/>
    <w:rsid w:val="00B66060"/>
    <w:rsid w:val="00C341CE"/>
    <w:rsid w:val="00DA59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A4C9F-3E0A-4A00-B4BE-01FEE1B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0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6060"/>
    <w:pPr>
      <w:spacing w:after="0" w:line="240" w:lineRule="auto"/>
    </w:pPr>
    <w:rPr>
      <w:sz w:val="20"/>
      <w:szCs w:val="20"/>
    </w:rPr>
  </w:style>
  <w:style w:type="character" w:customStyle="1" w:styleId="a4">
    <w:name w:val="متن پاورقی نویسه"/>
    <w:basedOn w:val="a0"/>
    <w:link w:val="a3"/>
    <w:uiPriority w:val="99"/>
    <w:semiHidden/>
    <w:rsid w:val="00B66060"/>
    <w:rPr>
      <w:sz w:val="20"/>
      <w:szCs w:val="20"/>
    </w:rPr>
  </w:style>
  <w:style w:type="character" w:styleId="a5">
    <w:name w:val="footnote reference"/>
    <w:basedOn w:val="a0"/>
    <w:uiPriority w:val="99"/>
    <w:semiHidden/>
    <w:unhideWhenUsed/>
    <w:rsid w:val="00B66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2</cp:revision>
  <dcterms:created xsi:type="dcterms:W3CDTF">2015-11-21T17:04:00Z</dcterms:created>
  <dcterms:modified xsi:type="dcterms:W3CDTF">2015-11-21T17:05:00Z</dcterms:modified>
</cp:coreProperties>
</file>